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7"/>
        <w:jc w:val="center"/>
        <w:rPr>
          <w:rFonts w:ascii="方正小标宋简体" w:eastAsia="方正小标宋简体"/>
          <w:sz w:val="44"/>
          <w:szCs w:val="44"/>
        </w:rPr>
      </w:pPr>
      <w:r>
        <w:rPr>
          <w:rFonts w:hint="eastAsia" w:ascii="方正小标宋简体" w:eastAsia="方正小标宋简体"/>
          <w:sz w:val="44"/>
          <w:szCs w:val="44"/>
        </w:rPr>
        <w:t>湘西州</w:t>
      </w:r>
      <w:r>
        <w:rPr>
          <w:rFonts w:hint="eastAsia" w:ascii="方正小标宋简体" w:eastAsia="方正小标宋简体"/>
          <w:sz w:val="44"/>
          <w:szCs w:val="44"/>
          <w:lang w:eastAsia="zh-CN"/>
        </w:rPr>
        <w:t>审计局</w:t>
      </w:r>
      <w:r>
        <w:rPr>
          <w:rFonts w:hint="eastAsia" w:ascii="方正小标宋简体" w:eastAsia="方正小标宋简体"/>
          <w:sz w:val="44"/>
          <w:szCs w:val="44"/>
        </w:rPr>
        <w:t>责任清单</w:t>
      </w:r>
    </w:p>
    <w:p>
      <w:pPr>
        <w:ind w:firstLine="67"/>
        <w:jc w:val="center"/>
        <w:rPr>
          <w:rFonts w:ascii="仿宋_GB2312" w:eastAsia="仿宋_GB2312"/>
          <w:b/>
          <w:sz w:val="28"/>
          <w:szCs w:val="28"/>
        </w:rPr>
      </w:pPr>
      <w:r>
        <w:rPr>
          <w:rFonts w:hint="eastAsia" w:ascii="仿宋_GB2312" w:eastAsia="仿宋_GB2312"/>
          <w:b/>
          <w:sz w:val="28"/>
          <w:szCs w:val="28"/>
        </w:rPr>
        <w:t>一、部门职责</w:t>
      </w:r>
    </w:p>
    <w:tbl>
      <w:tblPr>
        <w:tblStyle w:val="6"/>
        <w:tblW w:w="1577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3"/>
        <w:gridCol w:w="2296"/>
        <w:gridCol w:w="10282"/>
        <w:gridCol w:w="22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3" w:type="dxa"/>
            <w:vAlign w:val="center"/>
          </w:tcPr>
          <w:p>
            <w:pPr>
              <w:spacing w:line="280" w:lineRule="exact"/>
              <w:ind w:firstLine="0"/>
              <w:jc w:val="center"/>
              <w:rPr>
                <w:rFonts w:ascii="仿宋_GB2312" w:eastAsia="仿宋_GB2312"/>
                <w:sz w:val="24"/>
                <w:szCs w:val="24"/>
              </w:rPr>
            </w:pPr>
            <w:r>
              <w:rPr>
                <w:rFonts w:hint="eastAsia" w:ascii="仿宋_GB2312" w:eastAsia="仿宋_GB2312"/>
                <w:sz w:val="24"/>
                <w:szCs w:val="24"/>
              </w:rPr>
              <w:t>序号</w:t>
            </w:r>
          </w:p>
        </w:tc>
        <w:tc>
          <w:tcPr>
            <w:tcW w:w="2296" w:type="dxa"/>
            <w:vAlign w:val="center"/>
          </w:tcPr>
          <w:p>
            <w:pPr>
              <w:spacing w:line="280" w:lineRule="exact"/>
              <w:ind w:firstLine="0"/>
              <w:jc w:val="center"/>
              <w:rPr>
                <w:rFonts w:ascii="仿宋_GB2312" w:eastAsia="仿宋_GB2312"/>
                <w:sz w:val="24"/>
                <w:szCs w:val="24"/>
              </w:rPr>
            </w:pPr>
            <w:r>
              <w:rPr>
                <w:rFonts w:hint="eastAsia" w:ascii="仿宋_GB2312" w:eastAsia="仿宋_GB2312"/>
                <w:sz w:val="24"/>
                <w:szCs w:val="24"/>
              </w:rPr>
              <w:t>主要职责</w:t>
            </w:r>
          </w:p>
        </w:tc>
        <w:tc>
          <w:tcPr>
            <w:tcW w:w="10282" w:type="dxa"/>
            <w:vAlign w:val="center"/>
          </w:tcPr>
          <w:p>
            <w:pPr>
              <w:spacing w:line="280" w:lineRule="exact"/>
              <w:ind w:firstLine="0"/>
              <w:jc w:val="center"/>
              <w:rPr>
                <w:rFonts w:ascii="仿宋_GB2312" w:eastAsia="仿宋_GB2312"/>
                <w:sz w:val="24"/>
                <w:szCs w:val="24"/>
              </w:rPr>
            </w:pPr>
            <w:r>
              <w:rPr>
                <w:rFonts w:hint="eastAsia" w:ascii="仿宋_GB2312" w:eastAsia="仿宋_GB2312"/>
                <w:sz w:val="24"/>
                <w:szCs w:val="24"/>
              </w:rPr>
              <w:t>具体工作事项</w:t>
            </w:r>
          </w:p>
        </w:tc>
        <w:tc>
          <w:tcPr>
            <w:tcW w:w="2270" w:type="dxa"/>
            <w:tcBorders>
              <w:bottom w:val="single" w:color="auto" w:sz="4" w:space="0"/>
            </w:tcBorders>
            <w:vAlign w:val="center"/>
          </w:tcPr>
          <w:p>
            <w:pPr>
              <w:spacing w:line="280" w:lineRule="exact"/>
              <w:ind w:firstLine="0"/>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20" w:hRule="atLeast"/>
          <w:jc w:val="center"/>
        </w:trPr>
        <w:tc>
          <w:tcPr>
            <w:tcW w:w="923" w:type="dxa"/>
            <w:vAlign w:val="center"/>
          </w:tcPr>
          <w:p>
            <w:pPr>
              <w:spacing w:line="280" w:lineRule="exact"/>
              <w:ind w:firstLine="0"/>
              <w:jc w:val="left"/>
              <w:rPr>
                <w:rFonts w:ascii="仿宋_GB2312" w:eastAsia="仿宋_GB2312"/>
                <w:sz w:val="20"/>
                <w:szCs w:val="20"/>
              </w:rPr>
            </w:pPr>
            <w:r>
              <w:rPr>
                <w:rFonts w:hint="eastAsia" w:ascii="仿宋_GB2312" w:eastAsia="仿宋_GB2312"/>
                <w:sz w:val="20"/>
                <w:szCs w:val="20"/>
              </w:rPr>
              <w:t>1</w:t>
            </w:r>
          </w:p>
        </w:tc>
        <w:tc>
          <w:tcPr>
            <w:tcW w:w="2296" w:type="dxa"/>
            <w:vAlign w:val="center"/>
          </w:tcPr>
          <w:p>
            <w:pPr>
              <w:spacing w:line="280" w:lineRule="exact"/>
              <w:ind w:firstLine="0"/>
              <w:jc w:val="left"/>
              <w:rPr>
                <w:rFonts w:ascii="仿宋_GB2312" w:eastAsia="仿宋_GB2312"/>
                <w:sz w:val="21"/>
                <w:szCs w:val="21"/>
              </w:rPr>
            </w:pPr>
            <w:r>
              <w:rPr>
                <w:rFonts w:hint="eastAsia" w:ascii="仿宋_GB2312" w:eastAsia="仿宋_GB2312"/>
                <w:sz w:val="21"/>
                <w:szCs w:val="21"/>
              </w:rPr>
              <w:t>向州人民政府报告和向州人民政府有关部门通报审计情况，提出制定和完善有关政策法规、宏观调控措施以及管理体制、机制建设的建议</w:t>
            </w:r>
          </w:p>
        </w:tc>
        <w:tc>
          <w:tcPr>
            <w:tcW w:w="10282" w:type="dxa"/>
            <w:vAlign w:val="center"/>
          </w:tcPr>
          <w:p>
            <w:pPr>
              <w:spacing w:line="280" w:lineRule="exact"/>
              <w:ind w:firstLine="0"/>
              <w:jc w:val="left"/>
              <w:rPr>
                <w:rFonts w:ascii="仿宋_GB2312" w:eastAsia="仿宋_GB2312"/>
                <w:sz w:val="21"/>
                <w:szCs w:val="21"/>
              </w:rPr>
            </w:pPr>
            <w:r>
              <w:rPr>
                <w:rFonts w:hint="eastAsia" w:ascii="仿宋_GB2312" w:eastAsia="仿宋_GB2312"/>
                <w:sz w:val="21"/>
                <w:szCs w:val="21"/>
              </w:rPr>
              <w:t>以《审计报告》《审计信息》《审计要情》《审计督促整改通知书》《审计建议约谈函》《审计建议问责函》的形式加强审计成果的开发运用，促进审计查出问题的整改</w:t>
            </w:r>
          </w:p>
        </w:tc>
        <w:tc>
          <w:tcPr>
            <w:tcW w:w="2270" w:type="dxa"/>
            <w:tcBorders>
              <w:top w:val="single" w:color="auto" w:sz="4" w:space="0"/>
            </w:tcBorders>
            <w:vAlign w:val="center"/>
          </w:tcPr>
          <w:p>
            <w:pPr>
              <w:spacing w:line="280" w:lineRule="exact"/>
              <w:ind w:firstLine="0"/>
              <w:jc w:val="left"/>
              <w:rPr>
                <w:rFonts w:ascii="仿宋_GB2312" w:eastAsia="仿宋_GB2312"/>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restart"/>
            <w:vAlign w:val="center"/>
          </w:tcPr>
          <w:p>
            <w:pPr>
              <w:spacing w:line="280" w:lineRule="exact"/>
              <w:ind w:firstLine="0"/>
              <w:jc w:val="left"/>
              <w:rPr>
                <w:rFonts w:ascii="仿宋_GB2312" w:eastAsia="仿宋_GB2312"/>
                <w:sz w:val="24"/>
                <w:szCs w:val="24"/>
              </w:rPr>
            </w:pPr>
            <w:r>
              <w:rPr>
                <w:rFonts w:hint="eastAsia" w:ascii="仿宋_GB2312" w:eastAsia="仿宋_GB2312"/>
                <w:sz w:val="24"/>
                <w:szCs w:val="24"/>
              </w:rPr>
              <w:t>2</w:t>
            </w:r>
          </w:p>
        </w:tc>
        <w:tc>
          <w:tcPr>
            <w:tcW w:w="2296" w:type="dxa"/>
            <w:vMerge w:val="restart"/>
            <w:vAlign w:val="center"/>
          </w:tcPr>
          <w:p>
            <w:pPr>
              <w:spacing w:line="280" w:lineRule="exact"/>
              <w:ind w:firstLine="0"/>
              <w:jc w:val="both"/>
              <w:rPr>
                <w:rFonts w:hint="eastAsia" w:ascii="仿宋_GB2312" w:eastAsia="仿宋_GB2312"/>
                <w:sz w:val="21"/>
                <w:szCs w:val="21"/>
              </w:rPr>
            </w:pPr>
            <w:r>
              <w:rPr>
                <w:rFonts w:hint="eastAsia" w:ascii="仿宋_GB2312" w:eastAsia="仿宋_GB2312"/>
                <w:sz w:val="21"/>
                <w:szCs w:val="21"/>
              </w:rPr>
              <w:t>主管全州审计工作。负责对全州财政收支和法律法规规定属于审计监督范围的财务收支的真实、合法和效益进行审计监督，维护全州财政经济秩序，提高财政资金使用效益，促进廉政建设，保障全州经济和社会健康发展。对审计、专项审计调查和核查社会审计机构相关审计报告的结果承担责任，并负有督促被审计单位整改的责任</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依法制定全州审计工作发展规划</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指导、监督下级审计机关的审计工作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组织实施全州审计业务培训</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办理被审计单位（人员）对下一级审计机关的审计执法所申请的审计行政复议</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40" w:lineRule="auto"/>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对下一级审计机关开展目标管理考核</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40" w:lineRule="auto"/>
              <w:ind w:firstLine="0"/>
              <w:jc w:val="center"/>
            </w:pPr>
          </w:p>
        </w:tc>
        <w:tc>
          <w:tcPr>
            <w:tcW w:w="2296" w:type="dxa"/>
            <w:vMerge w:val="continue"/>
            <w:vAlign w:val="center"/>
          </w:tcPr>
          <w:p>
            <w:pPr>
              <w:spacing w:line="240" w:lineRule="auto"/>
              <w:ind w:firstLine="0"/>
              <w:jc w:val="center"/>
              <w:rPr>
                <w:sz w:val="21"/>
                <w:szCs w:val="21"/>
              </w:rPr>
            </w:pPr>
          </w:p>
        </w:tc>
        <w:tc>
          <w:tcPr>
            <w:tcW w:w="10282" w:type="dxa"/>
            <w:vAlign w:val="center"/>
          </w:tcPr>
          <w:p>
            <w:pPr>
              <w:spacing w:line="240" w:lineRule="auto"/>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对州级财政收支和法律法规规定属于审计监督范围的财务收支的真实、合法和效益进行审计监督</w:t>
            </w: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40" w:lineRule="auto"/>
              <w:ind w:firstLine="0"/>
              <w:jc w:val="center"/>
            </w:pPr>
          </w:p>
        </w:tc>
        <w:tc>
          <w:tcPr>
            <w:tcW w:w="2296" w:type="dxa"/>
            <w:vMerge w:val="continue"/>
            <w:vAlign w:val="center"/>
          </w:tcPr>
          <w:p>
            <w:pPr>
              <w:spacing w:line="240" w:lineRule="auto"/>
              <w:ind w:firstLine="0"/>
              <w:jc w:val="center"/>
              <w:rPr>
                <w:sz w:val="21"/>
                <w:szCs w:val="21"/>
              </w:rPr>
            </w:pPr>
          </w:p>
        </w:tc>
        <w:tc>
          <w:tcPr>
            <w:tcW w:w="10282" w:type="dxa"/>
            <w:vAlign w:val="center"/>
          </w:tcPr>
          <w:p>
            <w:pPr>
              <w:spacing w:line="240" w:lineRule="auto"/>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对审计、专项审计调查和核查社会审计机构相关审计报告的结果承担责任</w:t>
            </w: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c>
          <w:tcPr>
            <w:tcW w:w="2296" w:type="dxa"/>
            <w:vMerge w:val="continue"/>
            <w:vAlign w:val="center"/>
          </w:tcPr>
          <w:p>
            <w:pPr>
              <w:spacing w:line="240" w:lineRule="auto"/>
              <w:ind w:firstLine="0"/>
              <w:jc w:val="center"/>
              <w:rPr>
                <w:rFonts w:hint="eastAsia" w:ascii="仿宋_GB2312" w:hAnsi="宋体" w:eastAsia="仿宋_GB2312" w:cs="宋体"/>
                <w:color w:val="000000"/>
                <w:kern w:val="0"/>
                <w:sz w:val="21"/>
                <w:szCs w:val="21"/>
              </w:rPr>
            </w:pPr>
          </w:p>
        </w:tc>
        <w:tc>
          <w:tcPr>
            <w:tcW w:w="10282" w:type="dxa"/>
            <w:vAlign w:val="center"/>
          </w:tcPr>
          <w:p>
            <w:pPr>
              <w:spacing w:line="240" w:lineRule="auto"/>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执行审计通知、审计取证、审计报告征求意见、审计处理处罚、出具审计报告等法定程序</w:t>
            </w: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40" w:lineRule="auto"/>
              <w:ind w:firstLine="0"/>
              <w:jc w:val="center"/>
            </w:pPr>
          </w:p>
        </w:tc>
        <w:tc>
          <w:tcPr>
            <w:tcW w:w="2296" w:type="dxa"/>
            <w:vMerge w:val="continue"/>
            <w:vAlign w:val="center"/>
          </w:tcPr>
          <w:p>
            <w:pPr>
              <w:spacing w:line="240" w:lineRule="auto"/>
              <w:ind w:firstLine="0"/>
              <w:jc w:val="center"/>
              <w:rPr>
                <w:sz w:val="21"/>
                <w:szCs w:val="21"/>
              </w:rPr>
            </w:pPr>
          </w:p>
        </w:tc>
        <w:tc>
          <w:tcPr>
            <w:tcW w:w="10282" w:type="dxa"/>
            <w:vAlign w:val="center"/>
          </w:tcPr>
          <w:p>
            <w:pPr>
              <w:spacing w:line="240" w:lineRule="auto"/>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督促被审计单位整改并出具整改报告</w:t>
            </w: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exact"/>
          <w:jc w:val="center"/>
        </w:trPr>
        <w:tc>
          <w:tcPr>
            <w:tcW w:w="923" w:type="dxa"/>
            <w:vMerge w:val="continue"/>
            <w:vAlign w:val="center"/>
          </w:tcPr>
          <w:p>
            <w:pPr>
              <w:spacing w:line="240" w:lineRule="auto"/>
              <w:ind w:firstLine="0"/>
              <w:jc w:val="center"/>
            </w:pPr>
          </w:p>
        </w:tc>
        <w:tc>
          <w:tcPr>
            <w:tcW w:w="2296" w:type="dxa"/>
            <w:vMerge w:val="continue"/>
            <w:vAlign w:val="center"/>
          </w:tcPr>
          <w:p>
            <w:pPr>
              <w:spacing w:line="240" w:lineRule="auto"/>
              <w:ind w:firstLine="0"/>
              <w:jc w:val="center"/>
              <w:rPr>
                <w:sz w:val="21"/>
                <w:szCs w:val="21"/>
              </w:rPr>
            </w:pPr>
          </w:p>
        </w:tc>
        <w:tc>
          <w:tcPr>
            <w:tcW w:w="10282" w:type="dxa"/>
            <w:vMerge w:val="restart"/>
            <w:vAlign w:val="center"/>
          </w:tcPr>
          <w:p>
            <w:pPr>
              <w:spacing w:line="240" w:lineRule="auto"/>
              <w:ind w:firstLine="0"/>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向州人民政府和省审计厅报告审计工作</w:t>
            </w: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2" w:hRule="exact"/>
          <w:jc w:val="center"/>
        </w:trPr>
        <w:tc>
          <w:tcPr>
            <w:tcW w:w="923"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c>
          <w:tcPr>
            <w:tcW w:w="2296" w:type="dxa"/>
            <w:vMerge w:val="continue"/>
            <w:vAlign w:val="center"/>
          </w:tcPr>
          <w:p>
            <w:pPr>
              <w:spacing w:line="240" w:lineRule="auto"/>
              <w:ind w:firstLine="0"/>
              <w:jc w:val="center"/>
              <w:rPr>
                <w:rFonts w:hint="eastAsia" w:ascii="仿宋_GB2312" w:hAnsi="宋体" w:eastAsia="仿宋_GB2312" w:cs="宋体"/>
                <w:color w:val="000000"/>
                <w:kern w:val="0"/>
                <w:sz w:val="21"/>
                <w:szCs w:val="21"/>
              </w:rPr>
            </w:pPr>
          </w:p>
        </w:tc>
        <w:tc>
          <w:tcPr>
            <w:tcW w:w="10282" w:type="dxa"/>
            <w:vMerge w:val="continue"/>
            <w:vAlign w:val="center"/>
          </w:tcPr>
          <w:p>
            <w:pPr>
              <w:spacing w:line="240" w:lineRule="auto"/>
              <w:ind w:firstLine="0"/>
              <w:jc w:val="center"/>
              <w:rPr>
                <w:rFonts w:hint="eastAsia" w:ascii="仿宋_GB2312" w:hAnsi="宋体" w:eastAsia="仿宋_GB2312" w:cs="宋体"/>
                <w:color w:val="000000"/>
                <w:kern w:val="0"/>
                <w:sz w:val="21"/>
                <w:szCs w:val="21"/>
              </w:rPr>
            </w:pPr>
          </w:p>
        </w:tc>
        <w:tc>
          <w:tcPr>
            <w:tcW w:w="2270" w:type="dxa"/>
            <w:vMerge w:val="continue"/>
            <w:vAlign w:val="center"/>
          </w:tcPr>
          <w:p>
            <w:pPr>
              <w:spacing w:line="240" w:lineRule="auto"/>
              <w:ind w:firstLine="0"/>
              <w:jc w:val="center"/>
              <w:rPr>
                <w:rFonts w:hint="eastAsia" w:ascii="仿宋_GB2312" w:hAnsi="宋体" w:eastAsia="仿宋_GB2312" w:cs="宋体"/>
                <w:color w:val="000000"/>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923" w:type="dxa"/>
            <w:vMerge w:val="restart"/>
            <w:vAlign w:val="center"/>
          </w:tcPr>
          <w:p>
            <w:pPr>
              <w:spacing w:line="280" w:lineRule="exact"/>
              <w:ind w:firstLine="0"/>
              <w:jc w:val="left"/>
              <w:rPr>
                <w:rFonts w:ascii="仿宋_GB2312" w:eastAsia="仿宋_GB2312"/>
                <w:sz w:val="24"/>
                <w:szCs w:val="24"/>
              </w:rPr>
            </w:pPr>
            <w:r>
              <w:rPr>
                <w:rFonts w:hint="eastAsia" w:ascii="仿宋_GB2312" w:eastAsia="仿宋_GB2312"/>
                <w:sz w:val="24"/>
                <w:szCs w:val="24"/>
              </w:rPr>
              <w:t>3</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贯彻执行国家关于审计工作的方针、政策和法律法规，研究拟订我州审计工作方针、政策，参与起草审计、财政经济及有关地方性法规、规章制度草案，制定审计业务规章制度，并监督执行。制定并组织实施全州审计工作发展规划和专业领域审计工作规划以及年度审计计划。对直接审计、调查和核查的事项依法进行审计评价，作出审计决定或提出审计建议</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拟订有关审计行政管理的地方性法规、规章制度草案，经审议通过后组织实施</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制定并组织实施全州审计工作发展规划和专业领域审计工作规划，制定并组织实施年度审计计划</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参与起草财政经济及其相关的地方性法规、规章制度草案</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对直接审计、调查和核查的事项依法进行审计评价，作出审计决定或提出审计建议</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督促被审计单位落实审计决定</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0"/>
                <w:szCs w:val="20"/>
              </w:rPr>
              <w:t>对州本级财政预算执行情况和其他财政收支情况进行审计监督。向州人民政府提出年度州本级预算执行和其他财政收支情况的审计结果报告。受州人民政府委托向州人大常委会提出州本级预算执行情况和其他财政收支情况的审计工作报告、审计发现问题的纠正和处理结果报告。依法向社会公布审计结果</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spacing w:val="-6"/>
                <w:kern w:val="0"/>
                <w:sz w:val="21"/>
                <w:szCs w:val="21"/>
              </w:rPr>
              <w:t>向州政府和省审计厅提出年度州级预算执行和其他财政收支情况的审计结果报告</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向州人大常委会提出州级预算执行和其他财政收支情况的审计工作报告</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2"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草拟向州政府、州人大报送的关于审计工作报告中指出问题的整改情况报告</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向州政府报告对其他事项的审计和专项审计调查情况及结果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依法向社会公布审计结果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向州政府有关部门和县（市）人民政府通报审计情况和审计结果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审计属于审计机关监督对象的事项，出具审计报告，在法定职权范围内作出审计决定或向有关</w:t>
            </w:r>
            <w:r>
              <w:rPr>
                <w:rFonts w:hint="eastAsia" w:ascii="仿宋_GB2312" w:eastAsia="仿宋_GB2312"/>
                <w:sz w:val="21"/>
                <w:szCs w:val="21"/>
                <w:lang w:eastAsia="zh-CN"/>
              </w:rPr>
              <w:t>主</w:t>
            </w:r>
            <w:r>
              <w:rPr>
                <w:rFonts w:hint="eastAsia" w:ascii="仿宋_GB2312" w:eastAsia="仿宋_GB2312"/>
                <w:sz w:val="21"/>
                <w:szCs w:val="21"/>
              </w:rPr>
              <w:t>管机关提出处理处罚的建议</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对州本级财政预算执行情况和其他财政收支情况进行审计</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对县（市）人民政府预算执行情况、决算和其他财政收支情况进行审计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对州直各部门、事业单位及其下属单位预算执行情况、决算和其他财政收支情况进行审计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对州属国有及国有控股企业和地方金融机构、州属资本占控股或主导地位的企业和金融机构的资产、负债和损益情况进行审计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对州人民政府部门管理的和其他单位受州人民政府委托管理的社会保障基金、社会捐赠资金、环境保护资金以及其他有关基金、资金的财务收支情况进行审计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对州政府投资和以州政府投资为主的建设项目的预算执行情况和工程决算进行审计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对国际组织和外国政府援助、贷款项目以及赠款项目的财务收支情况进行审计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对法律、法规规定应由州审计局监督的其他事项进行审计</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7"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负责省审计厅授权的审计项目和专项审计调查项目的组织实施</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承担省审计厅授权对国有金融机构的资产、负债、损益的审计事项</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56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承担省审计厅授权经济责任的审计事项</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负责州领导干部经济责任审计领导小组办公室日常工作，按规定对州管党政领导干部及国有企业领导人员实施经济责任审计，协调各成员单位运用经济责任审计成果。指导全州经济责任审计工作</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协调州管领导干部经济责任审计工作</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组织实施州管党政主要负责人的经济责任审计，并出具审计报告和审计结果报告</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组织实施州属国有及国有控股企业领导人员经济责任审计，并出具审计报告和审计结果报告</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组织协调全州经济责任领导小组会议</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提出年度经济责任审计计划草案</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代州经济责任领导小组起草有关经济责任审计的制度、文件</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组织实施对国家财经法律、法规、规章、政策和宏观调控措施执行情况、财政预算管理或国有资产管理使用等与国家财政收支有关的特定事项进行专项审计调查</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对财经法律、法规、规章、政策和宏观调控措施执行情况组织专项审计调查</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对州级财政收支有关的特定事项组织专项审计调查</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向州人民政府和省审计厅报告调查结果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0"/>
                <w:szCs w:val="20"/>
              </w:rPr>
              <w:t>依法检查审计决定执行情况，督促纠正和处理审计发现的问题；依法办理审计行政复议，参加审计行政诉讼或政府裁决。协助配合有关部门查处相关重大</w:t>
            </w:r>
            <w:r>
              <w:rPr>
                <w:rFonts w:hint="eastAsia" w:ascii="仿宋_GB2312" w:hAnsi="宋体" w:eastAsia="仿宋_GB2312" w:cs="宋体"/>
                <w:color w:val="000000"/>
                <w:kern w:val="0"/>
                <w:sz w:val="21"/>
                <w:szCs w:val="21"/>
              </w:rPr>
              <w:t>案件</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制定、组织实施审计质量控制办法，开展审计执法检查，检查审计执法质量</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依法办理审计行政复议，参加行政诉讼或州政府裁决</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3"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协助配合纪检监察、公安、检察院等有关部门查处相关重大案件</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10</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指导和监督内部审计工作，核查社会审计机构对依法属于审计监督对象的单位出具的相关审计报告</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开展对内部审计工作的现场检查并出具检查报告</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开展内部审计业务培训；开展内部审计质量评比</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开展对社会审计机构对依法属于审计监督对象的单位出具的相关审计报告的核查，出具检查报告或结论，并将相关事项移送相关部门处理</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11</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指导和推广信息技术在全州审计系统的应用，组织全州审计机关实施管理系统和现场审计系统的建设。组织审计专业培训。</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组织实施信息系统审计</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指导全州审计系统计算机审计技术工作</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制订全州审计机关中长期人才发展规划</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制订审计干部年度培训计划</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组织开展审计干部业务培训</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7" w:hRule="atLeast"/>
          <w:jc w:val="center"/>
        </w:trPr>
        <w:tc>
          <w:tcPr>
            <w:tcW w:w="923" w:type="dxa"/>
            <w:vMerge w:val="restart"/>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12</w:t>
            </w:r>
          </w:p>
        </w:tc>
        <w:tc>
          <w:tcPr>
            <w:tcW w:w="2296" w:type="dxa"/>
            <w:vMerge w:val="restart"/>
            <w:vAlign w:val="center"/>
          </w:tcPr>
          <w:p>
            <w:pPr>
              <w:spacing w:line="280" w:lineRule="exact"/>
              <w:ind w:firstLine="0"/>
              <w:jc w:val="center"/>
              <w:rPr>
                <w:rFonts w:ascii="仿宋_GB2312" w:eastAsia="仿宋_GB2312"/>
                <w:sz w:val="21"/>
                <w:szCs w:val="21"/>
              </w:rPr>
            </w:pPr>
            <w:r>
              <w:rPr>
                <w:rFonts w:hint="eastAsia" w:ascii="仿宋_GB2312" w:eastAsia="仿宋_GB2312"/>
                <w:sz w:val="21"/>
                <w:szCs w:val="21"/>
              </w:rPr>
              <w:t>与县（市）人民政府共同领导县（市）审计机关。依法领导和监督下级审计机关的业务，组织下级审计机关实施专项审计或审计调查，纠正或责成纠正下级审计机关违反国家规定做出的审计决定。按照干部管理权限协同办理县（市）审计机关负责人的任免事项</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组织县（市）审计机关实施特定项目的专项审计或审计调查</w:t>
            </w:r>
          </w:p>
        </w:tc>
        <w:tc>
          <w:tcPr>
            <w:tcW w:w="2270" w:type="dxa"/>
            <w:vMerge w:val="restart"/>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7" w:hRule="atLeas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组织开展对县（市）审计机关的审计项目质量检查</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397" w:hRule="atLeas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纠正或责成纠正县（市）审计机关违反国家规定做出的审计决定</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5" w:hRule="atLeast"/>
          <w:jc w:val="center"/>
        </w:trPr>
        <w:tc>
          <w:tcPr>
            <w:tcW w:w="923" w:type="dxa"/>
            <w:vMerge w:val="continue"/>
            <w:vAlign w:val="center"/>
          </w:tcPr>
          <w:p>
            <w:pPr>
              <w:spacing w:line="280" w:lineRule="exact"/>
              <w:ind w:firstLine="0"/>
              <w:jc w:val="left"/>
              <w:rPr>
                <w:rFonts w:ascii="仿宋_GB2312" w:eastAsia="仿宋_GB2312"/>
                <w:sz w:val="24"/>
                <w:szCs w:val="24"/>
              </w:rPr>
            </w:pPr>
          </w:p>
        </w:tc>
        <w:tc>
          <w:tcPr>
            <w:tcW w:w="2296" w:type="dxa"/>
            <w:vMerge w:val="continue"/>
            <w:vAlign w:val="center"/>
          </w:tcPr>
          <w:p>
            <w:pPr>
              <w:spacing w:line="280" w:lineRule="exact"/>
              <w:ind w:firstLine="0"/>
              <w:jc w:val="center"/>
              <w:rPr>
                <w:rFonts w:ascii="仿宋_GB2312" w:eastAsia="仿宋_GB2312"/>
                <w:sz w:val="21"/>
                <w:szCs w:val="21"/>
              </w:rPr>
            </w:pP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按照干部管理权限协同办理县（市）审计机关负责人的任免事项</w:t>
            </w:r>
          </w:p>
        </w:tc>
        <w:tc>
          <w:tcPr>
            <w:tcW w:w="2270" w:type="dxa"/>
            <w:vMerge w:val="continue"/>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3" w:type="dxa"/>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13</w:t>
            </w:r>
          </w:p>
        </w:tc>
        <w:tc>
          <w:tcPr>
            <w:tcW w:w="2296"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组织审计我州驻外非经营性机构的财务收支，依法通过适当方式组织审计州属国有及国有控股企业和金融机构的资产、负债和损益</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审计我州驻外非经营性机构的财务收支情况，审计州属国有及国有控股企业和金融机构的资产、负债和损益情况</w:t>
            </w:r>
          </w:p>
        </w:tc>
        <w:tc>
          <w:tcPr>
            <w:tcW w:w="2270" w:type="dxa"/>
            <w:vAlign w:val="center"/>
          </w:tcPr>
          <w:p>
            <w:pPr>
              <w:spacing w:line="280" w:lineRule="exact"/>
              <w:ind w:firstLine="0"/>
              <w:jc w:val="left"/>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23" w:type="dxa"/>
            <w:vAlign w:val="center"/>
          </w:tcPr>
          <w:p>
            <w:pPr>
              <w:spacing w:line="280" w:lineRule="exact"/>
              <w:ind w:firstLine="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14</w:t>
            </w:r>
          </w:p>
        </w:tc>
        <w:tc>
          <w:tcPr>
            <w:tcW w:w="2296"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承办州委、州人民政府交办的其他事项</w:t>
            </w:r>
          </w:p>
        </w:tc>
        <w:tc>
          <w:tcPr>
            <w:tcW w:w="10282" w:type="dxa"/>
            <w:vAlign w:val="center"/>
          </w:tcPr>
          <w:p>
            <w:pPr>
              <w:spacing w:line="280" w:lineRule="exact"/>
              <w:ind w:firstLine="0"/>
              <w:jc w:val="center"/>
              <w:rPr>
                <w:rFonts w:ascii="仿宋_GB2312" w:eastAsia="仿宋_GB2312"/>
                <w:sz w:val="21"/>
                <w:szCs w:val="21"/>
              </w:rPr>
            </w:pPr>
            <w:r>
              <w:rPr>
                <w:rFonts w:hint="eastAsia" w:ascii="仿宋_GB2312" w:hAnsi="宋体" w:eastAsia="仿宋_GB2312" w:cs="宋体"/>
                <w:color w:val="000000"/>
                <w:kern w:val="0"/>
                <w:sz w:val="21"/>
                <w:szCs w:val="21"/>
              </w:rPr>
              <w:t>按州委、州政府要求办理</w:t>
            </w:r>
          </w:p>
        </w:tc>
        <w:tc>
          <w:tcPr>
            <w:tcW w:w="2270" w:type="dxa"/>
            <w:vAlign w:val="center"/>
          </w:tcPr>
          <w:p>
            <w:pPr>
              <w:spacing w:line="280" w:lineRule="exact"/>
              <w:ind w:firstLine="0"/>
              <w:jc w:val="left"/>
              <w:rPr>
                <w:rFonts w:ascii="仿宋_GB2312" w:eastAsia="仿宋_GB2312"/>
                <w:sz w:val="24"/>
                <w:szCs w:val="24"/>
              </w:rPr>
            </w:pPr>
          </w:p>
        </w:tc>
      </w:tr>
    </w:tbl>
    <w:p>
      <w:pPr>
        <w:ind w:firstLine="0"/>
        <w:jc w:val="left"/>
        <w:rPr>
          <w:rFonts w:hint="eastAsia" w:ascii="仿宋_GB2312" w:eastAsia="仿宋_GB2312"/>
          <w:b/>
          <w:sz w:val="28"/>
          <w:szCs w:val="28"/>
          <w:lang w:eastAsia="zh-CN"/>
        </w:rPr>
      </w:pPr>
      <w:bookmarkStart w:id="0" w:name="_GoBack"/>
      <w:bookmarkEnd w:id="0"/>
    </w:p>
    <w:sectPr>
      <w:pgSz w:w="16838" w:h="11906" w:orient="landscape"/>
      <w:pgMar w:top="1701"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034B"/>
    <w:rsid w:val="00001EFF"/>
    <w:rsid w:val="000660D5"/>
    <w:rsid w:val="00085DB7"/>
    <w:rsid w:val="00220348"/>
    <w:rsid w:val="00277658"/>
    <w:rsid w:val="002A160A"/>
    <w:rsid w:val="00305C6E"/>
    <w:rsid w:val="00320118"/>
    <w:rsid w:val="003228C1"/>
    <w:rsid w:val="00382D35"/>
    <w:rsid w:val="003A3BD0"/>
    <w:rsid w:val="00482D35"/>
    <w:rsid w:val="004E7138"/>
    <w:rsid w:val="0053217F"/>
    <w:rsid w:val="005826DC"/>
    <w:rsid w:val="005B4D0B"/>
    <w:rsid w:val="005C248A"/>
    <w:rsid w:val="006A034B"/>
    <w:rsid w:val="00792CB8"/>
    <w:rsid w:val="00793EA5"/>
    <w:rsid w:val="007C1574"/>
    <w:rsid w:val="007E251B"/>
    <w:rsid w:val="00836180"/>
    <w:rsid w:val="0088792C"/>
    <w:rsid w:val="0089744D"/>
    <w:rsid w:val="00970175"/>
    <w:rsid w:val="009E4AC2"/>
    <w:rsid w:val="00A27918"/>
    <w:rsid w:val="00A615B4"/>
    <w:rsid w:val="00AC24CE"/>
    <w:rsid w:val="00BA7B54"/>
    <w:rsid w:val="00BD29A2"/>
    <w:rsid w:val="00C050A0"/>
    <w:rsid w:val="00C614F2"/>
    <w:rsid w:val="00C936A6"/>
    <w:rsid w:val="00D43F92"/>
    <w:rsid w:val="00D758B9"/>
    <w:rsid w:val="00D91CC5"/>
    <w:rsid w:val="00DD67E7"/>
    <w:rsid w:val="00E130A9"/>
    <w:rsid w:val="00E30B9E"/>
    <w:rsid w:val="00E51CD5"/>
    <w:rsid w:val="00F26718"/>
    <w:rsid w:val="00FE3305"/>
    <w:rsid w:val="02B30C09"/>
    <w:rsid w:val="045763E7"/>
    <w:rsid w:val="05854D43"/>
    <w:rsid w:val="0644764E"/>
    <w:rsid w:val="067349C0"/>
    <w:rsid w:val="06F468E5"/>
    <w:rsid w:val="072F52DE"/>
    <w:rsid w:val="087334B9"/>
    <w:rsid w:val="088F61E4"/>
    <w:rsid w:val="0A811B24"/>
    <w:rsid w:val="0C6543D0"/>
    <w:rsid w:val="102D5D74"/>
    <w:rsid w:val="11CB3FDB"/>
    <w:rsid w:val="13994ED1"/>
    <w:rsid w:val="141E7A78"/>
    <w:rsid w:val="148E185D"/>
    <w:rsid w:val="1537659C"/>
    <w:rsid w:val="16442B6A"/>
    <w:rsid w:val="16A16EB6"/>
    <w:rsid w:val="18DA77DB"/>
    <w:rsid w:val="18DD33A6"/>
    <w:rsid w:val="1A210746"/>
    <w:rsid w:val="1B53049E"/>
    <w:rsid w:val="1B703CCB"/>
    <w:rsid w:val="20DB20F0"/>
    <w:rsid w:val="20E248D1"/>
    <w:rsid w:val="223B71C4"/>
    <w:rsid w:val="22CA2907"/>
    <w:rsid w:val="270A1B3A"/>
    <w:rsid w:val="27F34BC7"/>
    <w:rsid w:val="284C5759"/>
    <w:rsid w:val="2A54006F"/>
    <w:rsid w:val="2D5C38FF"/>
    <w:rsid w:val="2F7354CE"/>
    <w:rsid w:val="301757E5"/>
    <w:rsid w:val="30D27F8B"/>
    <w:rsid w:val="315773BC"/>
    <w:rsid w:val="349C4606"/>
    <w:rsid w:val="368D49BD"/>
    <w:rsid w:val="37E80055"/>
    <w:rsid w:val="384629BE"/>
    <w:rsid w:val="3B2B2C63"/>
    <w:rsid w:val="3C4A5ED8"/>
    <w:rsid w:val="3E180C54"/>
    <w:rsid w:val="3F214775"/>
    <w:rsid w:val="3F3B6557"/>
    <w:rsid w:val="3FB63AFE"/>
    <w:rsid w:val="400037FA"/>
    <w:rsid w:val="42ED22BD"/>
    <w:rsid w:val="43B17F76"/>
    <w:rsid w:val="43B92FDE"/>
    <w:rsid w:val="44F73907"/>
    <w:rsid w:val="45FC7CC2"/>
    <w:rsid w:val="46F12314"/>
    <w:rsid w:val="471F1505"/>
    <w:rsid w:val="47AC32AA"/>
    <w:rsid w:val="4830541D"/>
    <w:rsid w:val="48F5763A"/>
    <w:rsid w:val="492C3880"/>
    <w:rsid w:val="4A1537A6"/>
    <w:rsid w:val="4B9E0C4A"/>
    <w:rsid w:val="4BFD1CC2"/>
    <w:rsid w:val="4F953E09"/>
    <w:rsid w:val="50F636F9"/>
    <w:rsid w:val="51540363"/>
    <w:rsid w:val="51713B55"/>
    <w:rsid w:val="52594DD0"/>
    <w:rsid w:val="5317369A"/>
    <w:rsid w:val="533018C8"/>
    <w:rsid w:val="538C4077"/>
    <w:rsid w:val="59480C29"/>
    <w:rsid w:val="5A416AC9"/>
    <w:rsid w:val="5BAF15A1"/>
    <w:rsid w:val="5D871ADE"/>
    <w:rsid w:val="5EE70127"/>
    <w:rsid w:val="5F286CDF"/>
    <w:rsid w:val="5F6A1E17"/>
    <w:rsid w:val="61262AE3"/>
    <w:rsid w:val="63D736C7"/>
    <w:rsid w:val="64503672"/>
    <w:rsid w:val="64B37F7E"/>
    <w:rsid w:val="65125AC6"/>
    <w:rsid w:val="68561167"/>
    <w:rsid w:val="6927641D"/>
    <w:rsid w:val="69E021AA"/>
    <w:rsid w:val="6BD93C34"/>
    <w:rsid w:val="6D0B106F"/>
    <w:rsid w:val="6DCE24B8"/>
    <w:rsid w:val="6DDB3A26"/>
    <w:rsid w:val="708A7707"/>
    <w:rsid w:val="70CF7A61"/>
    <w:rsid w:val="711B3493"/>
    <w:rsid w:val="73AC01B2"/>
    <w:rsid w:val="748F49D5"/>
    <w:rsid w:val="74C07372"/>
    <w:rsid w:val="75B64524"/>
    <w:rsid w:val="798E140C"/>
    <w:rsid w:val="7B737DF6"/>
    <w:rsid w:val="7DD75975"/>
    <w:rsid w:val="7E84581F"/>
    <w:rsid w:val="7EAA1625"/>
    <w:rsid w:val="7F86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8"/>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137</Words>
  <Characters>786</Characters>
  <Lines>6</Lines>
  <Paragraphs>1</Paragraphs>
  <TotalTime>0</TotalTime>
  <ScaleCrop>false</ScaleCrop>
  <LinksUpToDate>false</LinksUpToDate>
  <CharactersWithSpaces>922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2018-03-28T02:16:00Z</dcterms:created>
  <dc:creator>微软用户</dc:creator>
  <cp:lastModifiedBy>天外流星</cp:lastModifiedBy>
  <cp:lastPrinted>2018-03-29T06:10:00Z</cp:lastPrinted>
  <dcterms:modified xsi:type="dcterms:W3CDTF">2020-12-18T03:29:29Z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