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40" w:lineRule="atLeast"/>
        <w:jc w:val="center"/>
        <w:outlineLvl w:val="0"/>
        <w:rPr>
          <w:rFonts w:ascii="微软雅黑" w:hAnsi="微软雅黑" w:eastAsia="微软雅黑" w:cs="宋体"/>
          <w:b/>
          <w:bCs/>
          <w:color w:val="333333"/>
          <w:kern w:val="36"/>
          <w:sz w:val="36"/>
          <w:szCs w:val="36"/>
        </w:rPr>
      </w:pPr>
      <w:r>
        <w:rPr>
          <w:rFonts w:hint="eastAsia" w:ascii="微软雅黑" w:hAnsi="微软雅黑" w:eastAsia="微软雅黑" w:cs="宋体"/>
          <w:b/>
          <w:bCs/>
          <w:color w:val="333333"/>
          <w:kern w:val="36"/>
          <w:sz w:val="36"/>
          <w:szCs w:val="36"/>
        </w:rPr>
        <w:t>202</w:t>
      </w:r>
      <w:r>
        <w:rPr>
          <w:rFonts w:hint="eastAsia" w:ascii="微软雅黑" w:hAnsi="微软雅黑" w:eastAsia="微软雅黑" w:cs="宋体"/>
          <w:b/>
          <w:bCs/>
          <w:color w:val="333333"/>
          <w:kern w:val="36"/>
          <w:sz w:val="36"/>
          <w:szCs w:val="36"/>
          <w:lang w:val="en-US" w:eastAsia="zh-CN"/>
        </w:rPr>
        <w:t>2</w:t>
      </w:r>
      <w:r>
        <w:rPr>
          <w:rFonts w:hint="eastAsia" w:ascii="微软雅黑" w:hAnsi="微软雅黑" w:eastAsia="微软雅黑" w:cs="宋体"/>
          <w:b/>
          <w:bCs/>
          <w:color w:val="333333"/>
          <w:kern w:val="36"/>
          <w:sz w:val="36"/>
          <w:szCs w:val="36"/>
        </w:rPr>
        <w:t>年政府信息公开工作年度报告</w:t>
      </w:r>
    </w:p>
    <w:p>
      <w:pPr>
        <w:widowControl/>
        <w:shd w:val="clear" w:color="auto" w:fill="FFFFFF"/>
        <w:spacing w:line="600" w:lineRule="atLeast"/>
        <w:ind w:firstLine="645"/>
        <w:jc w:val="left"/>
        <w:textAlignment w:val="center"/>
        <w:rPr>
          <w:rFonts w:hint="eastAsia" w:ascii="仿宋_GB2312" w:hAnsi="宋体" w:eastAsia="仿宋_GB2312" w:cs="宋体"/>
          <w:color w:val="333333"/>
          <w:kern w:val="0"/>
          <w:sz w:val="32"/>
          <w:szCs w:val="32"/>
        </w:rPr>
      </w:pPr>
    </w:p>
    <w:p>
      <w:pPr>
        <w:widowControl/>
        <w:shd w:val="clear" w:color="auto" w:fill="FFFFFF"/>
        <w:spacing w:line="600" w:lineRule="atLeast"/>
        <w:ind w:firstLine="645"/>
        <w:textAlignment w:val="center"/>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本报告根据2019年4月3日新修订的《中华人民共和国政府信息公开条例》（以下简称新条例）和《国务院办公厅政府信息与政务公开办公室关于印发&lt;中</w:t>
      </w:r>
      <w:bookmarkStart w:id="0" w:name="_GoBack"/>
      <w:bookmarkEnd w:id="0"/>
      <w:r>
        <w:rPr>
          <w:rFonts w:hint="eastAsia" w:ascii="仿宋_GB2312" w:hAnsi="宋体" w:eastAsia="仿宋_GB2312" w:cs="宋体"/>
          <w:color w:val="333333"/>
          <w:kern w:val="0"/>
          <w:sz w:val="32"/>
          <w:szCs w:val="32"/>
        </w:rPr>
        <w:t>华人民共和国政府信息公开工作年度报告格式&gt;的通知》（国办公开办函〔2021〕30号）有关事项的通知规定编制。报告由以下几部分组成：总体情况；主动公开政府信息情况；收到和处理政府信息公开申请情况；因政府信息公开工作被申请行政复议、提起行政诉讼情况；政府信息公开工作存在的主要问题及改进情况；其他需要报告的事项；共6个部分。报告中所列数据的统计期限自2022年1月1日起至2022年12月31日止。本报告的电子版可在湘西州审计局门户网站</w:t>
      </w:r>
      <w:r>
        <w:rPr>
          <w:rFonts w:hint="eastAsia" w:ascii="仿宋_GB2312" w:hAnsi="宋体" w:eastAsia="仿宋_GB2312" w:cs="宋体"/>
          <w:color w:val="333333"/>
          <w:kern w:val="0"/>
          <w:sz w:val="27"/>
          <w:szCs w:val="27"/>
        </w:rPr>
        <w:t>（</w:t>
      </w:r>
      <w:r>
        <w:rPr>
          <w:rFonts w:hint="eastAsia" w:ascii="仿宋_GB2312" w:hAnsi="宋体" w:eastAsia="仿宋_GB2312" w:cs="宋体"/>
          <w:color w:val="333333"/>
          <w:kern w:val="0"/>
          <w:sz w:val="32"/>
          <w:szCs w:val="32"/>
        </w:rPr>
        <w:t>http://sjj.xxz.gov.cn/）下载。如对本报告有任何疑问，请与湘西州审计局办公室联系。（地址：吉首市吉新路72号，邮编：416000，电话：0743-8223636，传真：0743-8266879；电子邮箱：xxzsjj0743@163.com）。</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黑体" w:hAnsi="黑体" w:eastAsia="黑体" w:cs="宋体"/>
          <w:color w:val="333333"/>
          <w:kern w:val="0"/>
          <w:sz w:val="29"/>
          <w:szCs w:val="29"/>
        </w:rPr>
        <w:t>一、总体情况</w:t>
      </w:r>
    </w:p>
    <w:p>
      <w:pPr>
        <w:widowControl/>
        <w:shd w:val="clear" w:color="auto" w:fill="FFFFFF"/>
        <w:spacing w:line="600" w:lineRule="atLeast"/>
        <w:ind w:firstLine="645"/>
        <w:textAlignment w:val="center"/>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2022年，按照《新条例》有关规定和全州政府信息公开工作总体要求，我局不断增强公开意识，紧密结合审计工作实际，规范政府信息公开内容,丰富政府信息公开形式，建立健全政府信息公开工作机制，强化政府信息公开监督,稳步推进本部门政府信息公开工作开展,严格执行信息发布“三审制”，将信息发布纳入干部职工绩效考核，行政行为进一步规范，依法行政水平得到有效提高。</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一是公开责任体制进一步完善。我局按照领导、机构、人员“三到位”的原则，进一步调整完善局政务公开工作领导小组，成立了以党组书记为组长、局长为第一副组长，分管领导及相关班子成员为副组长、综合后勤科室相关人员为成员的政务信息公开领导小组，不断充实政务公开工作力量，使该项工作分工明确、责任清楚。同时，加强各科室依法公开、主动公开意识，将政务公开工作纳入对各科室和干部职工绩效考核内容，按季进行通报，进行全员全过程管理。</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二是公开意识进一步增强。按照政务公开工作有关要求，组织政府信息公开小组成员系统学习了新修订的《条例》规定、《湘西自治州审计局办公室关于进一步规范审计宣传信息投稿审批管理的通知》等制度和规定，使每一个成员明确我局政务公开的内容、程序、保密要求、责任追究等，在全局形成了开展政务公开工作的浓厚氛围。同时，将增强政务公开意识同增强“四个意识”相结合，不断提升信息公开成员履职尽责的素质和能力，以及用“四个意识”指导政务公开工作的能力。政府信息公开的内容。2022年，我局除了将机构职能、内设科室、领导信息等作为基本内容长期在湘西自治州审计局局网站公开外，还将审计工作动态、部门文件、政策解读、规划计划、人事信息、机关党建、预算执行和其他财政收支审计工作报告及整改报告等作为重点内容及时公开。</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三是公开渠道进一步拓展。2022年，我局按照便捷、实用、高效的原则，创新政务公开形式，拓宽政务公开渠道，坚决做到“应公开，尽公开，应上网，尽上网</w:t>
      </w:r>
      <w:r>
        <w:rPr>
          <w:rFonts w:hint="eastAsia" w:ascii="宋体" w:hAnsi="宋体" w:eastAsia="宋体" w:cs="宋体"/>
          <w:color w:val="333333"/>
          <w:kern w:val="0"/>
          <w:sz w:val="32"/>
          <w:szCs w:val="32"/>
        </w:rPr>
        <w:t>”</w:t>
      </w:r>
      <w:r>
        <w:rPr>
          <w:rFonts w:hint="eastAsia" w:ascii="仿宋_GB2312" w:hAnsi="宋体" w:eastAsia="仿宋_GB2312" w:cs="宋体"/>
          <w:color w:val="333333"/>
          <w:kern w:val="0"/>
          <w:sz w:val="32"/>
          <w:szCs w:val="32"/>
        </w:rPr>
        <w:t>。对重大活动和重要工作，及时通过新闻媒体向社会公开，让人民群众了解、关注和支持审计工作，并通过大量设置信息公开栏、电子显示屏等方式发布群众最关心、最关注的审计事项，增强审计工作的透明度，接受基层和群众的监督。同时，把局网站作为政府信息公开的重要途径，将各类审计动态、政府信息公开指南和、审计公告等在局网站上逐条公开，极大地方便群众办事，提高依法行政效率。为了拓宽政务公开，适应社会发展，我局积极利用微信，QQ等微媒体进行政务宣传，使群众能够更加便捷的了解审计工作。</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四是公开工作进一步落实。根据州政府政务公开办和州大数据中心有关要求，我局定期自查，摸清底数。局政务公开专干定期对门户网站进行自查，重点摸清“信息更新不及时、信息发布不准确、互动交流不回应、服务信息不实用”等突出问题，对能够及时解决的问题立行立改，对难以一时解决的问题进一步分析原因，找准症结，并将有关情况呈报领导，提请研究解决。对审计工作动态定期更新，查漏补缺，使审计工作动态能够及时传递出去。同时对信息公开栏目定期维护，使其正常运行。据统计，2022年，共编发简报信息320篇（条），其中州局180篇（条）；我局还被网站、团结报、中国审计报等主流媒体累计采稿78篇（条），通过局网站发布审计公告2篇。</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黑体" w:hAnsi="黑体" w:eastAsia="黑体" w:cs="宋体"/>
          <w:color w:val="333333"/>
          <w:kern w:val="0"/>
          <w:sz w:val="29"/>
          <w:szCs w:val="29"/>
        </w:rPr>
        <w:t>二、主动公开政府信息情况</w:t>
      </w:r>
    </w:p>
    <w:tbl>
      <w:tblPr>
        <w:tblStyle w:val="8"/>
        <w:tblW w:w="8535" w:type="dxa"/>
        <w:jc w:val="center"/>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2130"/>
        <w:gridCol w:w="2130"/>
        <w:gridCol w:w="2130"/>
        <w:gridCol w:w="2145"/>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8535" w:type="dxa"/>
            <w:gridSpan w:val="4"/>
            <w:tcBorders>
              <w:top w:val="single" w:color="000000" w:sz="6" w:space="0"/>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第二十条第（一）项</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信息内容</w:t>
            </w:r>
          </w:p>
        </w:tc>
        <w:tc>
          <w:tcPr>
            <w:tcW w:w="21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本年制发件数</w:t>
            </w:r>
          </w:p>
        </w:tc>
        <w:tc>
          <w:tcPr>
            <w:tcW w:w="21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本年废止件数</w:t>
            </w:r>
          </w:p>
        </w:tc>
        <w:tc>
          <w:tcPr>
            <w:tcW w:w="214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现行有效件数</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规章</w:t>
            </w:r>
          </w:p>
        </w:tc>
        <w:tc>
          <w:tcPr>
            <w:tcW w:w="21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c>
          <w:tcPr>
            <w:tcW w:w="21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c>
          <w:tcPr>
            <w:tcW w:w="214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规范性文件</w:t>
            </w:r>
          </w:p>
        </w:tc>
        <w:tc>
          <w:tcPr>
            <w:tcW w:w="21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c>
          <w:tcPr>
            <w:tcW w:w="2130"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c>
          <w:tcPr>
            <w:tcW w:w="2145" w:type="dxa"/>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jc w:val="center"/>
        </w:trPr>
        <w:tc>
          <w:tcPr>
            <w:tcW w:w="8535"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第二十条第（五）项</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信息内容</w:t>
            </w:r>
          </w:p>
        </w:tc>
        <w:tc>
          <w:tcPr>
            <w:tcW w:w="640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本年处理决定数量</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行政许可</w:t>
            </w:r>
          </w:p>
        </w:tc>
        <w:tc>
          <w:tcPr>
            <w:tcW w:w="640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8535"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第二十条第（六）项</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信息内容</w:t>
            </w:r>
          </w:p>
        </w:tc>
        <w:tc>
          <w:tcPr>
            <w:tcW w:w="640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本年处理决定数量</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行政处罚</w:t>
            </w:r>
          </w:p>
        </w:tc>
        <w:tc>
          <w:tcPr>
            <w:tcW w:w="640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行政强制</w:t>
            </w:r>
          </w:p>
        </w:tc>
        <w:tc>
          <w:tcPr>
            <w:tcW w:w="640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8535" w:type="dxa"/>
            <w:gridSpan w:val="4"/>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第二十条第（八）项</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信息内容</w:t>
            </w:r>
          </w:p>
        </w:tc>
        <w:tc>
          <w:tcPr>
            <w:tcW w:w="640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本年收费金额（单位：万元）</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2130" w:type="dxa"/>
            <w:tcBorders>
              <w:top w:val="nil"/>
              <w:left w:val="single" w:color="000000" w:sz="6" w:space="0"/>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行政事业性收费</w:t>
            </w:r>
          </w:p>
        </w:tc>
        <w:tc>
          <w:tcPr>
            <w:tcW w:w="6405" w:type="dxa"/>
            <w:gridSpan w:val="3"/>
            <w:tcBorders>
              <w:top w:val="nil"/>
              <w:left w:val="nil"/>
              <w:bottom w:val="single" w:color="000000" w:sz="6" w:space="0"/>
              <w:right w:val="single" w:color="000000"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黑体" w:hAnsi="黑体" w:eastAsia="黑体" w:cs="宋体"/>
          <w:color w:val="333333"/>
          <w:kern w:val="0"/>
          <w:sz w:val="29"/>
          <w:szCs w:val="29"/>
        </w:rPr>
        <w:t>三、收到和处理政府信息公开申请情况</w:t>
      </w:r>
    </w:p>
    <w:tbl>
      <w:tblPr>
        <w:tblStyle w:val="8"/>
        <w:tblW w:w="8535" w:type="dxa"/>
        <w:jc w:val="center"/>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615"/>
        <w:gridCol w:w="840"/>
        <w:gridCol w:w="6"/>
        <w:gridCol w:w="2124"/>
        <w:gridCol w:w="660"/>
        <w:gridCol w:w="660"/>
        <w:gridCol w:w="630"/>
        <w:gridCol w:w="765"/>
        <w:gridCol w:w="900"/>
        <w:gridCol w:w="675"/>
        <w:gridCol w:w="660"/>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255" w:hRule="atLeast"/>
          <w:jc w:val="center"/>
        </w:trPr>
        <w:tc>
          <w:tcPr>
            <w:tcW w:w="3585" w:type="dxa"/>
            <w:gridSpan w:val="4"/>
            <w:vMerge w:val="restart"/>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（本列数据的勾稽关系为：第一项加第二项之和，等于第三项加第四项之和）</w:t>
            </w:r>
          </w:p>
        </w:tc>
        <w:tc>
          <w:tcPr>
            <w:tcW w:w="4950" w:type="dxa"/>
            <w:gridSpan w:val="7"/>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申请人情况</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300" w:hRule="atLeast"/>
          <w:jc w:val="center"/>
        </w:trPr>
        <w:tc>
          <w:tcPr>
            <w:tcW w:w="3585" w:type="dxa"/>
            <w:gridSpan w:val="4"/>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66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自</w:t>
            </w:r>
          </w:p>
          <w:p>
            <w:pPr>
              <w:widowControl/>
              <w:spacing w:line="240"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然</w:t>
            </w:r>
          </w:p>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人</w:t>
            </w:r>
          </w:p>
        </w:tc>
        <w:tc>
          <w:tcPr>
            <w:tcW w:w="363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法人或其他组织</w:t>
            </w:r>
          </w:p>
        </w:tc>
        <w:tc>
          <w:tcPr>
            <w:tcW w:w="66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总计</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765" w:hRule="atLeast"/>
          <w:jc w:val="center"/>
        </w:trPr>
        <w:tc>
          <w:tcPr>
            <w:tcW w:w="3585" w:type="dxa"/>
            <w:gridSpan w:val="4"/>
            <w:vMerge w:val="continue"/>
            <w:tcBorders>
              <w:top w:val="single" w:color="auto" w:sz="6" w:space="0"/>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660"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商业企业</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科研机构</w:t>
            </w: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社会公益组织</w:t>
            </w: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法律服务机构</w:t>
            </w: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其他</w:t>
            </w:r>
          </w:p>
        </w:tc>
        <w:tc>
          <w:tcPr>
            <w:tcW w:w="660"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840" w:hRule="atLeast"/>
          <w:jc w:val="center"/>
        </w:trPr>
        <w:tc>
          <w:tcPr>
            <w:tcW w:w="3585" w:type="dxa"/>
            <w:gridSpan w:val="4"/>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一、本年新收政府信息公开申请数量</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24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930" w:hRule="atLeast"/>
          <w:jc w:val="center"/>
        </w:trPr>
        <w:tc>
          <w:tcPr>
            <w:tcW w:w="3585" w:type="dxa"/>
            <w:gridSpan w:val="4"/>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二、上年结转政府信息公开申请数量</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615"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三、本年度办理结果</w:t>
            </w:r>
          </w:p>
        </w:tc>
        <w:tc>
          <w:tcPr>
            <w:tcW w:w="297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（一）予以公开</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7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（二）部分公开（区分处理的，只计这一情形，不计其他情形）</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（三）不</w:t>
            </w:r>
          </w:p>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予</w:t>
            </w:r>
          </w:p>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公</w:t>
            </w:r>
          </w:p>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开</w:t>
            </w: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1.属于国家秘密</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2.其他法律行政法规</w:t>
            </w:r>
          </w:p>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禁止公开</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3.危及“三安全一稳定”</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4.保护第三方合法权益</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18"/>
                <w:szCs w:val="18"/>
              </w:rPr>
              <w:t>5.属于三类内部事务信息</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6.属于四类过程性信息</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7.属于行政执法案卷</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8.属于行政查询事项</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（四）无</w:t>
            </w:r>
          </w:p>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法</w:t>
            </w:r>
          </w:p>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提</w:t>
            </w:r>
          </w:p>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供</w:t>
            </w: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1.本机关不掌握相关</w:t>
            </w:r>
          </w:p>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政府信息</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2.没有现成信息需要</w:t>
            </w:r>
          </w:p>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另行制作</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3.补正后申请内容仍</w:t>
            </w:r>
          </w:p>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不明确</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（五）不</w:t>
            </w:r>
          </w:p>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予</w:t>
            </w:r>
          </w:p>
          <w:p>
            <w:pPr>
              <w:widowControl/>
              <w:spacing w:line="405" w:lineRule="atLeast"/>
              <w:jc w:val="center"/>
              <w:textAlignment w:val="center"/>
              <w:rPr>
                <w:rFonts w:hint="eastAsia" w:ascii="宋体" w:hAnsi="宋体" w:eastAsia="宋体" w:cs="宋体"/>
                <w:kern w:val="0"/>
                <w:sz w:val="24"/>
                <w:szCs w:val="24"/>
              </w:rPr>
            </w:pPr>
            <w:r>
              <w:rPr>
                <w:rFonts w:hint="eastAsia" w:ascii="宋体" w:hAnsi="宋体" w:eastAsia="宋体" w:cs="宋体"/>
                <w:color w:val="333333"/>
                <w:kern w:val="0"/>
                <w:sz w:val="20"/>
                <w:szCs w:val="20"/>
              </w:rPr>
              <w:t>处</w:t>
            </w:r>
          </w:p>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理</w:t>
            </w: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1.信访举报投诉类申请</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2.重复申请</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3.要求提供公开出版物</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945" w:hRule="atLeast"/>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4.无正当理由大量反复申请</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6" w:type="dxa"/>
            <w:gridSpan w:val="2"/>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24"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5.要求行政机关确认或重新出具已获取信息</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25" w:hRule="atLeast"/>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（六）其他处理</w:t>
            </w:r>
          </w:p>
        </w:tc>
        <w:tc>
          <w:tcPr>
            <w:tcW w:w="213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kern w:val="0"/>
                <w:sz w:val="20"/>
                <w:szCs w:val="20"/>
              </w:rPr>
              <w:t>1.申请人无正当理由逾期不补正、行政机关不再处理其政府信息公开申请</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810" w:hRule="atLeast"/>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840"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130" w:type="dxa"/>
            <w:gridSpan w:val="2"/>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ascii="Arial" w:hAnsi="Arial" w:eastAsia="宋体" w:cs="Arial"/>
                <w:kern w:val="0"/>
                <w:sz w:val="20"/>
                <w:szCs w:val="20"/>
              </w:rPr>
              <w:t>2.</w:t>
            </w:r>
            <w:r>
              <w:rPr>
                <w:rFonts w:hint="eastAsia" w:ascii="宋体" w:hAnsi="宋体" w:eastAsia="宋体" w:cs="宋体"/>
                <w:kern w:val="0"/>
                <w:sz w:val="20"/>
                <w:szCs w:val="20"/>
              </w:rPr>
              <w:t>申请人逾期未按收费通知要求缴纳费用、行政机关不再处理其政府信息公开申请</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480" w:hRule="atLeast"/>
          <w:jc w:val="center"/>
        </w:trPr>
        <w:tc>
          <w:tcPr>
            <w:tcW w:w="615"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2970" w:type="dxa"/>
            <w:gridSpan w:val="3"/>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（七）总计</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jc w:val="center"/>
        </w:trPr>
        <w:tc>
          <w:tcPr>
            <w:tcW w:w="3585" w:type="dxa"/>
            <w:gridSpan w:val="4"/>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05" w:lineRule="atLeast"/>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四、结转下年度继续办理</w:t>
            </w: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05" w:lineRule="atLeast"/>
              <w:ind w:firstLine="195"/>
              <w:jc w:val="left"/>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0</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615"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840"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6"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2124"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765"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900"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c>
          <w:tcPr>
            <w:tcW w:w="660" w:type="dxa"/>
            <w:tcBorders>
              <w:top w:val="nil"/>
              <w:left w:val="nil"/>
              <w:bottom w:val="nil"/>
              <w:right w:val="nil"/>
            </w:tcBorders>
            <w:vAlign w:val="center"/>
          </w:tcPr>
          <w:p>
            <w:pPr>
              <w:widowControl/>
              <w:spacing w:line="480" w:lineRule="auto"/>
              <w:jc w:val="left"/>
              <w:rPr>
                <w:rFonts w:ascii="宋体" w:hAnsi="宋体" w:eastAsia="宋体" w:cs="宋体"/>
                <w:kern w:val="0"/>
                <w:sz w:val="24"/>
                <w:szCs w:val="24"/>
              </w:rPr>
            </w:pPr>
          </w:p>
        </w:tc>
      </w:tr>
    </w:tbl>
    <w:p>
      <w:pPr>
        <w:widowControl/>
        <w:shd w:val="clear" w:color="auto" w:fill="FFFFFF"/>
        <w:spacing w:line="600" w:lineRule="atLeast"/>
        <w:ind w:firstLine="585"/>
        <w:jc w:val="left"/>
        <w:textAlignment w:val="center"/>
        <w:rPr>
          <w:rFonts w:hint="eastAsia" w:ascii="宋体" w:hAnsi="宋体" w:eastAsia="宋体" w:cs="宋体"/>
          <w:color w:val="333333"/>
          <w:kern w:val="0"/>
          <w:sz w:val="24"/>
          <w:szCs w:val="24"/>
        </w:rPr>
      </w:pPr>
      <w:r>
        <w:rPr>
          <w:rFonts w:hint="eastAsia" w:ascii="黑体" w:hAnsi="黑体" w:eastAsia="黑体" w:cs="宋体"/>
          <w:color w:val="333333"/>
          <w:kern w:val="0"/>
          <w:sz w:val="29"/>
          <w:szCs w:val="29"/>
        </w:rPr>
        <w:t>四、政府信息公开行政复议、行政诉讼情况</w:t>
      </w:r>
    </w:p>
    <w:tbl>
      <w:tblPr>
        <w:tblStyle w:val="8"/>
        <w:tblW w:w="9075" w:type="dxa"/>
        <w:jc w:val="center"/>
        <w:tblInd w:w="0" w:type="dxa"/>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70" w:hRule="atLeast"/>
          <w:jc w:val="center"/>
        </w:trPr>
        <w:tc>
          <w:tcPr>
            <w:tcW w:w="3075" w:type="dxa"/>
            <w:gridSpan w:val="5"/>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行政复议</w:t>
            </w:r>
          </w:p>
        </w:tc>
        <w:tc>
          <w:tcPr>
            <w:tcW w:w="6000" w:type="dxa"/>
            <w:gridSpan w:val="10"/>
            <w:tcBorders>
              <w:top w:val="single" w:color="auto" w:sz="6" w:space="0"/>
              <w:left w:val="nil"/>
              <w:bottom w:val="single" w:color="auto" w:sz="6" w:space="0"/>
              <w:right w:val="single" w:color="auto" w:sz="6" w:space="0"/>
            </w:tcBorders>
            <w:tcMar>
              <w:top w:w="0" w:type="dxa"/>
              <w:left w:w="105" w:type="dxa"/>
              <w:bottom w:w="0" w:type="dxa"/>
              <w:right w:w="105" w:type="dxa"/>
            </w:tcMar>
            <w:vAlign w:val="center"/>
          </w:tcPr>
          <w:p>
            <w:pPr>
              <w:widowControl/>
              <w:spacing w:line="360"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行政诉讼</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jc w:val="center"/>
        </w:trPr>
        <w:tc>
          <w:tcPr>
            <w:tcW w:w="600" w:type="dxa"/>
            <w:vMerge w:val="restart"/>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结果维持</w:t>
            </w:r>
          </w:p>
        </w:tc>
        <w:tc>
          <w:tcPr>
            <w:tcW w:w="60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结果纠正</w:t>
            </w:r>
          </w:p>
        </w:tc>
        <w:tc>
          <w:tcPr>
            <w:tcW w:w="60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其他结果</w:t>
            </w:r>
          </w:p>
        </w:tc>
        <w:tc>
          <w:tcPr>
            <w:tcW w:w="600"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尚未审结</w:t>
            </w:r>
          </w:p>
        </w:tc>
        <w:tc>
          <w:tcPr>
            <w:tcW w:w="675" w:type="dxa"/>
            <w:vMerge w:val="restart"/>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总计</w:t>
            </w:r>
          </w:p>
        </w:tc>
        <w:tc>
          <w:tcPr>
            <w:tcW w:w="297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未经复议直接起诉</w:t>
            </w:r>
          </w:p>
        </w:tc>
        <w:tc>
          <w:tcPr>
            <w:tcW w:w="3030" w:type="dxa"/>
            <w:gridSpan w:val="5"/>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复议后起诉</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1665" w:hRule="atLeast"/>
          <w:jc w:val="center"/>
        </w:trPr>
        <w:tc>
          <w:tcPr>
            <w:tcW w:w="600" w:type="dxa"/>
            <w:vMerge w:val="continue"/>
            <w:tcBorders>
              <w:top w:val="nil"/>
              <w:left w:val="single" w:color="auto" w:sz="6" w:space="0"/>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600"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600"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600"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675" w:type="dxa"/>
            <w:vMerge w:val="continue"/>
            <w:tcBorders>
              <w:top w:val="nil"/>
              <w:left w:val="nil"/>
              <w:bottom w:val="single" w:color="auto" w:sz="6" w:space="0"/>
              <w:right w:val="single" w:color="auto" w:sz="6" w:space="0"/>
            </w:tcBorders>
            <w:vAlign w:val="center"/>
          </w:tcPr>
          <w:p>
            <w:pPr>
              <w:widowControl/>
              <w:jc w:val="left"/>
              <w:rPr>
                <w:rFonts w:ascii="宋体" w:hAnsi="宋体" w:eastAsia="宋体" w:cs="宋体"/>
                <w:kern w:val="0"/>
                <w:sz w:val="24"/>
                <w:szCs w:val="24"/>
              </w:rPr>
            </w:pP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结果纠正</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其他结果</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尚未审结</w:t>
            </w: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结果维持</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结果纠正</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color w:val="333333"/>
                <w:kern w:val="0"/>
                <w:sz w:val="20"/>
                <w:szCs w:val="20"/>
              </w:rPr>
              <w:t>尚未审结</w:t>
            </w: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315" w:lineRule="atLeast"/>
              <w:jc w:val="center"/>
              <w:textAlignment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Borders>
            <w:top w:val="outset" w:color="333333" w:sz="6" w:space="0"/>
            <w:left w:val="outset" w:color="333333" w:sz="6" w:space="0"/>
            <w:bottom w:val="outset" w:color="333333" w:sz="6" w:space="0"/>
            <w:right w:val="outset" w:color="333333" w:sz="6" w:space="0"/>
            <w:insideH w:val="none" w:color="auto" w:sz="0" w:space="0"/>
            <w:insideV w:val="none" w:color="auto" w:sz="0" w:space="0"/>
          </w:tblBorders>
          <w:tblLayout w:type="fixed"/>
          <w:tblCellMar>
            <w:top w:w="0" w:type="dxa"/>
            <w:left w:w="0" w:type="dxa"/>
            <w:bottom w:w="0" w:type="dxa"/>
            <w:right w:w="0" w:type="dxa"/>
          </w:tblCellMar>
        </w:tblPrEx>
        <w:trPr>
          <w:trHeight w:val="990" w:hRule="atLeast"/>
          <w:jc w:val="center"/>
        </w:trPr>
        <w:tc>
          <w:tcPr>
            <w:tcW w:w="600" w:type="dxa"/>
            <w:tcBorders>
              <w:top w:val="nil"/>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7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c>
          <w:tcPr>
            <w:tcW w:w="55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15"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0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left"/>
              <w:rPr>
                <w:rFonts w:ascii="宋体" w:hAnsi="宋体" w:eastAsia="宋体" w:cs="宋体"/>
                <w:kern w:val="0"/>
                <w:sz w:val="24"/>
                <w:szCs w:val="24"/>
              </w:rPr>
            </w:pPr>
          </w:p>
        </w:tc>
        <w:tc>
          <w:tcPr>
            <w:tcW w:w="630" w:type="dxa"/>
            <w:tcBorders>
              <w:top w:val="nil"/>
              <w:left w:val="nil"/>
              <w:bottom w:val="single" w:color="auto" w:sz="6" w:space="0"/>
              <w:right w:val="single" w:color="auto" w:sz="6" w:space="0"/>
            </w:tcBorders>
            <w:tcMar>
              <w:top w:w="0" w:type="dxa"/>
              <w:left w:w="105" w:type="dxa"/>
              <w:bottom w:w="0" w:type="dxa"/>
              <w:right w:w="105" w:type="dxa"/>
            </w:tcMar>
            <w:vAlign w:val="center"/>
          </w:tcPr>
          <w:p>
            <w:pPr>
              <w:widowControl/>
              <w:spacing w:line="480" w:lineRule="auto"/>
              <w:jc w:val="center"/>
              <w:textAlignment w:val="center"/>
              <w:rPr>
                <w:rFonts w:ascii="宋体" w:hAnsi="宋体" w:eastAsia="宋体" w:cs="宋体"/>
                <w:kern w:val="0"/>
                <w:sz w:val="24"/>
                <w:szCs w:val="24"/>
              </w:rPr>
            </w:pPr>
            <w:r>
              <w:rPr>
                <w:rFonts w:hint="eastAsia" w:ascii="宋体" w:hAnsi="宋体" w:eastAsia="宋体" w:cs="宋体"/>
                <w:kern w:val="0"/>
                <w:sz w:val="20"/>
                <w:szCs w:val="20"/>
              </w:rPr>
              <w:t>0</w:t>
            </w:r>
          </w:p>
        </w:tc>
      </w:tr>
    </w:tbl>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黑体" w:hAnsi="黑体" w:eastAsia="黑体" w:cs="宋体"/>
          <w:color w:val="333333"/>
          <w:kern w:val="0"/>
          <w:sz w:val="29"/>
          <w:szCs w:val="29"/>
        </w:rPr>
        <w:t>五、存在的主要问题及改进情况</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2022年，我局在政务公开的内容、形式、范围上都有了一定的进步，取得了一定的工作成绩，但在网站栏目各个部分的更新和网站维护等方面还存在进一步改进和加强的空间。下一步，我局将采取有力措施，深入推进政务信息公开工作。一是加强各科室主动公开、依法公开的意识，贯彻落实中央和省、州关于政府信息公开工作的要求。二是广泛开展系列政府信息公开工作宣传活动，倡导积极、全面、合法、透明的政府信息。三是不断探索信息公开渠道，探索微媒体公开方式，为公众提供及时、准确、实用的政府信息。</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黑体" w:hAnsi="黑体" w:eastAsia="黑体" w:cs="宋体"/>
          <w:color w:val="333333"/>
          <w:kern w:val="0"/>
          <w:sz w:val="29"/>
          <w:szCs w:val="29"/>
        </w:rPr>
        <w:t>六、其他需要报告的事项</w:t>
      </w:r>
    </w:p>
    <w:p>
      <w:pPr>
        <w:widowControl/>
        <w:shd w:val="clear" w:color="auto" w:fill="FFFFFF"/>
        <w:spacing w:line="600" w:lineRule="atLeast"/>
        <w:ind w:firstLine="645"/>
        <w:jc w:val="left"/>
        <w:textAlignment w:val="center"/>
        <w:rPr>
          <w:rFonts w:hint="eastAsia" w:ascii="宋体" w:hAnsi="宋体" w:eastAsia="宋体" w:cs="宋体"/>
          <w:color w:val="333333"/>
          <w:kern w:val="0"/>
          <w:sz w:val="24"/>
          <w:szCs w:val="24"/>
        </w:rPr>
      </w:pPr>
      <w:r>
        <w:rPr>
          <w:rFonts w:hint="eastAsia" w:ascii="仿宋_GB2312" w:hAnsi="宋体" w:eastAsia="仿宋_GB2312" w:cs="宋体"/>
          <w:color w:val="333333"/>
          <w:kern w:val="0"/>
          <w:sz w:val="32"/>
          <w:szCs w:val="32"/>
        </w:rPr>
        <w:t>我局无其他需要特殊报告的事项。</w:t>
      </w:r>
    </w:p>
    <w:p/>
    <w:sectPr>
      <w:pgSz w:w="11906" w:h="16838"/>
      <w:pgMar w:top="1588" w:right="1474" w:bottom="1588"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B7F10"/>
    <w:rsid w:val="00193634"/>
    <w:rsid w:val="007B7F10"/>
    <w:rsid w:val="0089317C"/>
    <w:rsid w:val="00A67E5E"/>
    <w:rsid w:val="00F7174A"/>
    <w:rsid w:val="32F90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semiHidden/>
    <w:unhideWhenUsed/>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qFormat/>
    <w:uiPriority w:val="99"/>
    <w:rPr>
      <w:sz w:val="18"/>
      <w:szCs w:val="18"/>
    </w:rPr>
  </w:style>
  <w:style w:type="character" w:customStyle="1" w:styleId="11">
    <w:name w:val="标题 1 Char"/>
    <w:basedOn w:val="7"/>
    <w:link w:val="2"/>
    <w:uiPriority w:val="9"/>
    <w:rPr>
      <w:rFonts w:ascii="宋体" w:hAnsi="宋体" w:eastAsia="宋体" w:cs="宋体"/>
      <w:b/>
      <w:bCs/>
      <w:kern w:val="36"/>
      <w:sz w:val="48"/>
      <w:szCs w:val="48"/>
    </w:rPr>
  </w:style>
  <w:style w:type="character" w:customStyle="1" w:styleId="12">
    <w:name w:val="font"/>
    <w:basedOn w:val="7"/>
    <w:qFormat/>
    <w:uiPriority w:val="0"/>
  </w:style>
  <w:style w:type="character" w:customStyle="1" w:styleId="13">
    <w:name w:val="批注框文本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475</Words>
  <Characters>2708</Characters>
  <Lines>22</Lines>
  <Paragraphs>6</Paragraphs>
  <TotalTime>20</TotalTime>
  <ScaleCrop>false</ScaleCrop>
  <LinksUpToDate>false</LinksUpToDate>
  <CharactersWithSpaces>3177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2023-02-10T00:38:00Z</dcterms:created>
  <dc:creator>胡光键</dc:creator>
  <cp:lastModifiedBy>机关文书</cp:lastModifiedBy>
  <dcterms:modified xsi:type="dcterms:W3CDTF">2023-02-13T09:19:53Z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